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新疆财政支出绩效自评报告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英吉沙县水利局位于克孜勒路18号，承担着全县农田水利基本建设、田间灌溉管理、防汛抗旱、农村防病改水等工作。水利局下设水管总站、工程建设与管理站、防病改水办公室、农村供水总站、防汛抗旱办公室、水政监察大队、渔政监察大队、水管总站下设17个乡镇水管站、所、负责管理全县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英吉沙县公益性水利工程全部由县水管总站统一管理，水管总站下设17个乡镇水管站（所），其中下设4个流域站、13个乡镇水管所。总站现有正式职工132人。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2018年自治区小型农田水利最后一公里补助资金目标：克孜勒9村渠系建筑物分水闸15座，克孜勒12村防渗渠0.39公里，克孜勒12村渠系建筑物8座，克孜勒16村渠系建筑物1座；克孜勒16村溢流晏99M；城关乡8村小桥13座；城关乡8村闸口24座；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2018年自治区小型农田水利最后一公里补助资金工程总投资概算100万元，本年到位资金82.07万元，项目执行82.07万元。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topLinePunct/>
        <w:snapToGrid w:val="0"/>
        <w:spacing w:line="360" w:lineRule="auto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本项目性质为新增项目。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56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2018年自治区小型农田水利最后一公里补助资金范围：克孜勒9村、12村、16村，城关8村；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topLinePunct/>
        <w:snapToGrid w:val="0"/>
        <w:spacing w:line="360" w:lineRule="auto"/>
        <w:ind w:firstLine="632" w:firstLineChars="200"/>
        <w:rPr>
          <w:rFonts w:hint="eastAsia" w:ascii="仿宋_GB2312" w:hAnsi="仿宋_GB2312" w:eastAsia="仿宋_GB2312" w:cs="仿宋_GB2312"/>
          <w:color w:val="000000"/>
          <w:spacing w:val="-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2"/>
          <w:sz w:val="32"/>
          <w:szCs w:val="32"/>
        </w:rPr>
        <w:t>2018年自治区小型农田水利最后一公里补助资金</w:t>
      </w:r>
      <w:r>
        <w:rPr>
          <w:rFonts w:hint="eastAsia" w:ascii="仿宋_GB2312" w:hAnsi="仿宋_GB2312" w:eastAsia="仿宋_GB2312" w:cs="仿宋_GB2312"/>
          <w:color w:val="000000"/>
          <w:spacing w:val="-2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color w:val="000000"/>
          <w:spacing w:val="-2"/>
          <w:sz w:val="32"/>
          <w:szCs w:val="32"/>
        </w:rPr>
        <w:t>预算安排总额为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82.07</w:t>
      </w:r>
      <w:r>
        <w:rPr>
          <w:rFonts w:hint="eastAsia" w:ascii="仿宋_GB2312" w:hAnsi="仿宋_GB2312" w:eastAsia="仿宋_GB2312" w:cs="仿宋_GB2312"/>
          <w:color w:val="000000"/>
          <w:spacing w:val="-2"/>
          <w:sz w:val="32"/>
          <w:szCs w:val="32"/>
        </w:rPr>
        <w:t>万元，其中财政资金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82.07</w:t>
      </w:r>
      <w:r>
        <w:rPr>
          <w:rFonts w:hint="eastAsia" w:ascii="仿宋_GB2312" w:hAnsi="仿宋_GB2312" w:eastAsia="仿宋_GB2312" w:cs="仿宋_GB2312"/>
          <w:color w:val="000000"/>
          <w:spacing w:val="-2"/>
          <w:sz w:val="32"/>
          <w:szCs w:val="32"/>
        </w:rPr>
        <w:t>万元，自筹资金</w:t>
      </w:r>
      <w:r>
        <w:rPr>
          <w:rFonts w:hint="eastAsia" w:ascii="仿宋_GB2312" w:hAnsi="仿宋_GB2312" w:eastAsia="仿宋_GB2312" w:cs="仿宋_GB2312"/>
          <w:color w:val="000000"/>
          <w:spacing w:val="-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000000"/>
          <w:spacing w:val="-2"/>
          <w:sz w:val="32"/>
          <w:szCs w:val="32"/>
        </w:rPr>
        <w:t>万元，2018年实际收到预算资金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82.07</w:t>
      </w:r>
      <w:r>
        <w:rPr>
          <w:rFonts w:hint="eastAsia" w:ascii="仿宋_GB2312" w:hAnsi="仿宋_GB2312" w:eastAsia="仿宋_GB2312" w:cs="仿宋_GB2312"/>
          <w:color w:val="000000"/>
          <w:spacing w:val="-2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topLinePunct/>
        <w:snapToGrid w:val="0"/>
        <w:spacing w:line="360" w:lineRule="auto"/>
        <w:ind w:firstLine="632" w:firstLineChars="200"/>
        <w:rPr>
          <w:rFonts w:hint="eastAsia" w:ascii="仿宋_GB2312" w:hAnsi="仿宋_GB2312" w:eastAsia="仿宋_GB2312" w:cs="仿宋_GB2312"/>
          <w:color w:val="000000"/>
          <w:spacing w:val="-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2"/>
          <w:sz w:val="32"/>
          <w:szCs w:val="32"/>
        </w:rPr>
        <w:t>主要分析项目资金使用明细情况，对各项支出进行明细说明。</w:t>
      </w:r>
    </w:p>
    <w:p>
      <w:pPr>
        <w:topLinePunct/>
        <w:snapToGrid w:val="0"/>
        <w:spacing w:line="360" w:lineRule="auto"/>
        <w:ind w:firstLine="632" w:firstLineChars="200"/>
        <w:rPr>
          <w:rFonts w:hint="eastAsia" w:ascii="仿宋_GB2312" w:hAnsi="仿宋_GB2312" w:eastAsia="仿宋_GB2312" w:cs="仿宋_GB2312"/>
          <w:color w:val="000000"/>
          <w:spacing w:val="-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2"/>
          <w:sz w:val="32"/>
          <w:szCs w:val="32"/>
        </w:rPr>
        <w:t>本项目实际支付资金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82.07</w:t>
      </w:r>
      <w:r>
        <w:rPr>
          <w:rFonts w:hint="eastAsia" w:ascii="仿宋_GB2312" w:hAnsi="仿宋_GB2312" w:eastAsia="仿宋_GB2312" w:cs="仿宋_GB2312"/>
          <w:color w:val="000000"/>
          <w:spacing w:val="-2"/>
          <w:sz w:val="32"/>
          <w:szCs w:val="32"/>
        </w:rPr>
        <w:t>万元，预算执行率</w:t>
      </w:r>
      <w:r>
        <w:rPr>
          <w:rFonts w:hint="eastAsia" w:ascii="仿宋_GB2312" w:hAnsi="仿宋_GB2312" w:eastAsia="仿宋_GB2312" w:cs="仿宋_GB2312"/>
          <w:color w:val="000000"/>
          <w:spacing w:val="-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000000"/>
          <w:spacing w:val="-2"/>
          <w:sz w:val="32"/>
          <w:szCs w:val="32"/>
        </w:rPr>
        <w:t>%。项目资金主要用于支付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克孜勒9村、12村、16村，城关8村工程款</w:t>
      </w:r>
      <w:r>
        <w:rPr>
          <w:rFonts w:hint="eastAsia" w:ascii="仿宋_GB2312" w:hAnsi="仿宋_GB2312" w:eastAsia="仿宋_GB2312" w:cs="仿宋_GB2312"/>
          <w:color w:val="000000"/>
          <w:spacing w:val="-2"/>
          <w:sz w:val="32"/>
          <w:szCs w:val="32"/>
          <w:lang w:val="en-US" w:eastAsia="zh-CN"/>
        </w:rPr>
        <w:t>82.07</w:t>
      </w:r>
      <w:r>
        <w:rPr>
          <w:rFonts w:hint="eastAsia" w:ascii="仿宋_GB2312" w:hAnsi="仿宋_GB2312" w:eastAsia="仿宋_GB2312" w:cs="仿宋_GB2312"/>
          <w:color w:val="000000"/>
          <w:spacing w:val="-2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topLinePunct/>
        <w:snapToGrid w:val="0"/>
        <w:spacing w:line="360" w:lineRule="auto"/>
        <w:ind w:firstLine="632" w:firstLineChars="200"/>
        <w:rPr>
          <w:rFonts w:hint="eastAsia" w:ascii="仿宋_GB2312" w:hAnsi="仿宋_GB2312" w:eastAsia="仿宋_GB2312" w:cs="仿宋_GB2312"/>
          <w:color w:val="000000"/>
          <w:spacing w:val="-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2"/>
          <w:sz w:val="32"/>
          <w:szCs w:val="32"/>
        </w:rPr>
        <w:t>本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”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topLinePunct/>
        <w:snapToGrid w:val="0"/>
        <w:spacing w:line="360" w:lineRule="auto"/>
        <w:ind w:firstLine="632" w:firstLineChars="200"/>
        <w:rPr>
          <w:rFonts w:hint="eastAsia" w:ascii="仿宋_GB2312" w:hAnsi="仿宋_GB2312" w:eastAsia="仿宋_GB2312" w:cs="仿宋_GB2312"/>
          <w:color w:val="000000"/>
          <w:spacing w:val="-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2"/>
          <w:sz w:val="32"/>
          <w:szCs w:val="32"/>
        </w:rPr>
        <w:t>该项目属于经常性零星项目,没有达到招投标限额,由本单位自行组织实施。实施过程均按照本单位制定的管理制度执行。本项目不存在调整情况。本项目不存在检查验收程序。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topLinePunct/>
        <w:snapToGrid w:val="0"/>
        <w:spacing w:line="360" w:lineRule="auto"/>
        <w:ind w:firstLine="632" w:firstLineChars="200"/>
        <w:rPr>
          <w:rFonts w:hint="eastAsia" w:ascii="仿宋_GB2312" w:hAnsi="仿宋_GB2312" w:eastAsia="仿宋_GB2312" w:cs="仿宋_GB2312"/>
          <w:color w:val="000000"/>
          <w:spacing w:val="-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-2"/>
          <w:sz w:val="32"/>
          <w:szCs w:val="32"/>
          <w:lang w:eastAsia="zh-CN"/>
        </w:rPr>
        <w:t>项目的实施遵守相关法律法规和业务管理规定，项目资料齐全并及时归档。不定期对项目进度情况进行督导检查，对检查过程中发现的问题及时督促整改，确保了项目按时保质完成。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topLinePunct/>
        <w:snapToGrid w:val="0"/>
        <w:spacing w:line="360" w:lineRule="auto"/>
        <w:ind w:firstLine="632" w:firstLineChars="200"/>
        <w:rPr>
          <w:rFonts w:hint="eastAsia" w:ascii="仿宋_GB2312" w:hAnsi="仿宋_GB2312" w:eastAsia="仿宋_GB2312" w:cs="仿宋_GB2312"/>
          <w:color w:val="000000"/>
          <w:spacing w:val="-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-2"/>
          <w:sz w:val="32"/>
          <w:szCs w:val="32"/>
          <w:lang w:eastAsia="zh-CN"/>
        </w:rPr>
        <w:t>本项目共设置一级指标</w:t>
      </w:r>
      <w:r>
        <w:rPr>
          <w:rFonts w:hint="eastAsia" w:ascii="仿宋_GB2312" w:hAnsi="仿宋_GB2312" w:eastAsia="仿宋_GB2312" w:cs="仿宋_GB2312"/>
          <w:color w:val="000000"/>
          <w:spacing w:val="-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pacing w:val="-2"/>
          <w:sz w:val="32"/>
          <w:szCs w:val="32"/>
          <w:lang w:eastAsia="zh-CN"/>
        </w:rPr>
        <w:t>个，二级指标</w:t>
      </w:r>
      <w:r>
        <w:rPr>
          <w:rFonts w:hint="eastAsia" w:ascii="仿宋_GB2312" w:hAnsi="仿宋_GB2312" w:eastAsia="仿宋_GB2312" w:cs="仿宋_GB2312"/>
          <w:color w:val="000000"/>
          <w:spacing w:val="-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000000"/>
          <w:spacing w:val="-2"/>
          <w:sz w:val="32"/>
          <w:szCs w:val="32"/>
          <w:lang w:eastAsia="zh-CN"/>
        </w:rPr>
        <w:t>个，三级指标</w:t>
      </w:r>
      <w:r>
        <w:rPr>
          <w:rFonts w:hint="eastAsia" w:ascii="仿宋_GB2312" w:hAnsi="仿宋_GB2312" w:eastAsia="仿宋_GB2312" w:cs="仿宋_GB2312"/>
          <w:color w:val="000000"/>
          <w:spacing w:val="-2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color w:val="000000"/>
          <w:spacing w:val="-2"/>
          <w:sz w:val="32"/>
          <w:szCs w:val="32"/>
          <w:lang w:eastAsia="zh-CN"/>
        </w:rPr>
        <w:t>个，其中已完成三级指标</w:t>
      </w:r>
      <w:r>
        <w:rPr>
          <w:rFonts w:hint="eastAsia" w:ascii="仿宋_GB2312" w:hAnsi="仿宋_GB2312" w:eastAsia="仿宋_GB2312" w:cs="仿宋_GB2312"/>
          <w:color w:val="000000"/>
          <w:spacing w:val="-2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color w:val="000000"/>
          <w:spacing w:val="-2"/>
          <w:sz w:val="32"/>
          <w:szCs w:val="32"/>
          <w:lang w:eastAsia="zh-CN"/>
        </w:rPr>
        <w:t>个，指标完成率为</w:t>
      </w:r>
      <w:r>
        <w:rPr>
          <w:rFonts w:hint="eastAsia" w:ascii="仿宋_GB2312" w:hAnsi="仿宋_GB2312" w:eastAsia="仿宋_GB2312" w:cs="仿宋_GB2312"/>
          <w:color w:val="000000"/>
          <w:spacing w:val="-2"/>
          <w:sz w:val="32"/>
          <w:szCs w:val="32"/>
          <w:lang w:val="en-US" w:eastAsia="zh-CN"/>
        </w:rPr>
        <w:t>98</w:t>
      </w:r>
      <w:r>
        <w:rPr>
          <w:rFonts w:hint="eastAsia" w:ascii="仿宋_GB2312" w:hAnsi="仿宋_GB2312" w:eastAsia="仿宋_GB2312" w:cs="仿宋_GB2312"/>
          <w:color w:val="000000"/>
          <w:spacing w:val="-2"/>
          <w:sz w:val="32"/>
          <w:szCs w:val="32"/>
          <w:lang w:eastAsia="zh-CN"/>
        </w:rPr>
        <w:t>%。</w:t>
      </w:r>
    </w:p>
    <w:p>
      <w:pPr>
        <w:topLinePunct/>
        <w:snapToGrid w:val="0"/>
        <w:spacing w:line="360" w:lineRule="auto"/>
        <w:ind w:firstLine="632" w:firstLineChars="200"/>
        <w:rPr>
          <w:rFonts w:hint="eastAsia" w:ascii="仿宋_GB2312" w:hAnsi="仿宋_GB2312" w:eastAsia="仿宋_GB2312" w:cs="仿宋_GB2312"/>
          <w:color w:val="000000"/>
          <w:spacing w:val="-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-2"/>
          <w:sz w:val="32"/>
          <w:szCs w:val="32"/>
          <w:lang w:eastAsia="zh-CN"/>
        </w:rPr>
        <w:t>经济性：主要根据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pacing w:val="-2"/>
          <w:sz w:val="32"/>
          <w:szCs w:val="32"/>
          <w:lang w:eastAsia="zh-CN"/>
        </w:rPr>
        <w:t>项目实际情况和项目经济效益设置的指标进行综合分析，主要包括项目成本控制情况和项目成本节约情况。</w:t>
      </w:r>
    </w:p>
    <w:p>
      <w:pPr>
        <w:topLinePunct/>
        <w:snapToGrid w:val="0"/>
        <w:spacing w:line="360" w:lineRule="auto"/>
        <w:ind w:firstLine="632" w:firstLineChars="200"/>
        <w:rPr>
          <w:rFonts w:hint="eastAsia" w:ascii="仿宋_GB2312" w:hAnsi="仿宋_GB2312" w:eastAsia="仿宋_GB2312" w:cs="仿宋_GB2312"/>
          <w:color w:val="000000"/>
          <w:spacing w:val="-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-2"/>
          <w:sz w:val="32"/>
          <w:szCs w:val="32"/>
          <w:lang w:eastAsia="zh-CN"/>
        </w:rPr>
        <w:t>效率性：主要通过对比分析项目的实施进度和完成质量。</w:t>
      </w:r>
    </w:p>
    <w:p>
      <w:pPr>
        <w:topLinePunct/>
        <w:snapToGrid w:val="0"/>
        <w:spacing w:line="360" w:lineRule="auto"/>
        <w:ind w:firstLine="632" w:firstLineChars="200"/>
        <w:rPr>
          <w:rFonts w:hint="eastAsia" w:ascii="仿宋_GB2312" w:hAnsi="仿宋_GB2312" w:eastAsia="仿宋_GB2312" w:cs="仿宋_GB2312"/>
          <w:color w:val="000000"/>
          <w:spacing w:val="-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-2"/>
          <w:sz w:val="32"/>
          <w:szCs w:val="32"/>
          <w:lang w:eastAsia="zh-CN"/>
        </w:rPr>
        <w:t>效益性：主要分析项目实施后对于经济和社会的影响。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topLinePunct/>
        <w:snapToGrid w:val="0"/>
        <w:spacing w:line="360" w:lineRule="auto"/>
        <w:ind w:firstLine="632" w:firstLineChars="200"/>
        <w:rPr>
          <w:rFonts w:hint="eastAsia" w:ascii="仿宋_GB2312" w:hAnsi="仿宋_GB2312" w:eastAsia="仿宋_GB2312" w:cs="仿宋_GB2312"/>
          <w:color w:val="000000"/>
          <w:spacing w:val="-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-2"/>
          <w:sz w:val="32"/>
          <w:szCs w:val="32"/>
          <w:lang w:eastAsia="zh-CN"/>
        </w:rPr>
        <w:t>不存在未完成情况:“2018年本项目绩效目标全部达成，不存在未完成原因分析。”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32" w:firstLineChars="200"/>
        <w:outlineLvl w:val="0"/>
        <w:rPr>
          <w:rFonts w:hint="eastAsia" w:ascii="仿宋_GB2312" w:hAnsi="仿宋_GB2312" w:eastAsia="仿宋_GB2312" w:cs="仿宋_GB2312"/>
          <w:color w:val="000000"/>
          <w:spacing w:val="-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-2"/>
          <w:sz w:val="32"/>
          <w:szCs w:val="32"/>
          <w:lang w:eastAsia="zh-CN"/>
        </w:rPr>
        <w:t>水资源综合利用规划报告由档案室存档；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主要经验及做法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936" w:firstLineChars="300"/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专款专用；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left="0" w:leftChars="0" w:firstLine="624" w:firstLineChars="200"/>
        <w:rPr>
          <w:rFonts w:hint="eastAsia"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存在的问题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Chars="200" w:firstLine="312" w:firstLineChars="100"/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无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left="0" w:leftChars="0" w:firstLine="624" w:firstLineChars="200"/>
        <w:rPr>
          <w:rFonts w:hint="eastAsia"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建议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Chars="200" w:firstLine="312" w:firstLineChars="100"/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无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topLinePunct/>
        <w:snapToGrid w:val="0"/>
        <w:spacing w:line="360" w:lineRule="auto"/>
        <w:ind w:firstLine="632" w:firstLineChars="200"/>
        <w:rPr>
          <w:rFonts w:hint="eastAsia" w:ascii="仿宋_GB2312" w:hAnsi="仿宋_GB2312" w:eastAsia="仿宋_GB2312" w:cs="仿宋_GB2312"/>
          <w:color w:val="000000"/>
          <w:spacing w:val="-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-2"/>
          <w:sz w:val="32"/>
          <w:szCs w:val="32"/>
          <w:lang w:eastAsia="zh-CN"/>
        </w:rPr>
        <w:t>无其他说明内容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topLinePunct/>
        <w:snapToGrid w:val="0"/>
        <w:spacing w:line="360" w:lineRule="auto"/>
        <w:ind w:firstLine="632" w:firstLineChars="200"/>
        <w:rPr>
          <w:rFonts w:hint="eastAsia" w:ascii="仿宋_GB2312" w:hAnsi="仿宋_GB2312" w:eastAsia="仿宋_GB2312" w:cs="仿宋_GB2312"/>
          <w:color w:val="000000"/>
          <w:spacing w:val="-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-2"/>
          <w:sz w:val="32"/>
          <w:szCs w:val="32"/>
          <w:lang w:eastAsia="zh-CN"/>
        </w:rPr>
        <w:t>本次评价通过文件研读、实地调研、数据分析等方式，全面了解水资源综合利用规划报告项目资金的使用效率和效果，项目管理过程是否规范，是否完成了预期绩效目标等。同时，通过开展自我评价来总结经验和教训，为喀什区水资源综合利用规划报告项目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560" w:lineRule="exact"/>
        <w:outlineLvl w:val="0"/>
        <w:rPr>
          <w:rStyle w:val="18"/>
          <w:rFonts w:ascii="仿宋" w:hAnsi="仿宋" w:eastAsia="仿宋"/>
          <w:color w:val="0000FF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F4CBC7"/>
    <w:multiLevelType w:val="singleLevel"/>
    <w:tmpl w:val="ABF4CBC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3B30ED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01D410C3"/>
    <w:rsid w:val="12452514"/>
    <w:rsid w:val="16A12614"/>
    <w:rsid w:val="1E453A9F"/>
    <w:rsid w:val="21A005D7"/>
    <w:rsid w:val="2216056C"/>
    <w:rsid w:val="27A24145"/>
    <w:rsid w:val="2DBA6724"/>
    <w:rsid w:val="32690356"/>
    <w:rsid w:val="3B9402F9"/>
    <w:rsid w:val="3DC94109"/>
    <w:rsid w:val="40E571D3"/>
    <w:rsid w:val="49F65236"/>
    <w:rsid w:val="549275CD"/>
    <w:rsid w:val="559B071E"/>
    <w:rsid w:val="5AE85183"/>
    <w:rsid w:val="633F10BE"/>
    <w:rsid w:val="6E992E77"/>
    <w:rsid w:val="748F5D4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2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2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5"/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1</TotalTime>
  <ScaleCrop>false</ScaleCrop>
  <LinksUpToDate>false</LinksUpToDate>
  <CharactersWithSpaces>2449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2019-01-30T08:31:41Z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